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276" w:lineRule="auto"/>
        <w:jc w:val="center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实训四  氯化钠的杂质检查学习情境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（单元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设计首页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  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20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</w:p>
    <w:tbl>
      <w:tblPr>
        <w:tblStyle w:val="4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768"/>
        <w:gridCol w:w="683"/>
        <w:gridCol w:w="717"/>
        <w:gridCol w:w="2296"/>
        <w:gridCol w:w="788"/>
        <w:gridCol w:w="917"/>
        <w:gridCol w:w="772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所属课程</w:t>
            </w:r>
          </w:p>
        </w:tc>
        <w:tc>
          <w:tcPr>
            <w:tcW w:w="2267" w:type="pct"/>
            <w:gridSpan w:val="4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  <w:lang w:val="zh-CN"/>
              </w:rPr>
              <w:t>药物检验技术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zh-CN"/>
              </w:rPr>
              <w:t>Ⅱ（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en-US" w:eastAsia="zh-CN"/>
              </w:rPr>
              <w:t>药物分析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zh-CN"/>
              </w:rPr>
              <w:t>）</w:t>
            </w:r>
          </w:p>
        </w:tc>
        <w:tc>
          <w:tcPr>
            <w:tcW w:w="40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学分</w:t>
            </w:r>
          </w:p>
        </w:tc>
        <w:tc>
          <w:tcPr>
            <w:tcW w:w="466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0.1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学时</w:t>
            </w:r>
          </w:p>
        </w:tc>
        <w:tc>
          <w:tcPr>
            <w:tcW w:w="68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单元或模块</w:t>
            </w:r>
          </w:p>
        </w:tc>
        <w:tc>
          <w:tcPr>
            <w:tcW w:w="39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编号</w:t>
            </w:r>
          </w:p>
        </w:tc>
        <w:tc>
          <w:tcPr>
            <w:tcW w:w="347" w:type="pct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364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3113" w:type="pct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实训三 氯化钠的杂质检查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上课周次/时间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上课班级/小组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药学1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-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上课地点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博雅楼A栋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教学目标要求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与内容要点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对应本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模块）的预期学习成果（S</w:t>
            </w:r>
            <w:r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  <w:t>OC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）描述：</w:t>
            </w:r>
          </w:p>
          <w:tbl>
            <w:tblPr>
              <w:tblStyle w:val="4"/>
              <w:tblW w:w="4999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36"/>
              <w:gridCol w:w="4249"/>
              <w:gridCol w:w="21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学习成果编号</w:t>
                  </w:r>
                </w:p>
              </w:tc>
              <w:tc>
                <w:tcPr>
                  <w:tcW w:w="2631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预期学习成果SOC描述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对应的POC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  <w:vAlign w:val="top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 w:cstheme="minorBidi"/>
                      <w:color w:val="auto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SOC3</w:t>
                  </w:r>
                </w:p>
              </w:tc>
              <w:tc>
                <w:tcPr>
                  <w:tcW w:w="2631" w:type="pct"/>
                  <w:vAlign w:val="top"/>
                </w:tcPr>
                <w:p>
                  <w:pPr>
                    <w:pStyle w:val="2"/>
                    <w:spacing w:line="240" w:lineRule="auto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zh-CN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树立“依法检验,质量第一”的检验原则 ，检验过程中实事求是，坚持原则，具有药物检验人员的职业素养。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POC3.4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18"/>
                      <w:szCs w:val="18"/>
                      <w:lang w:val="en-US" w:eastAsia="zh-CN"/>
                    </w:rPr>
                    <w:t xml:space="preserve">SOC4 </w:t>
                  </w:r>
                </w:p>
              </w:tc>
              <w:tc>
                <w:tcPr>
                  <w:tcW w:w="2631" w:type="pct"/>
                  <w:vAlign w:val="top"/>
                </w:tcPr>
                <w:p>
                  <w:pPr>
                    <w:pStyle w:val="2"/>
                    <w:spacing w:line="240" w:lineRule="auto"/>
                    <w:rPr>
                      <w:rFonts w:hint="default" w:ascii="宋体" w:hAnsi="宋体" w:eastAsia="宋体" w:cs="宋体"/>
                      <w:kern w:val="0"/>
                      <w:sz w:val="18"/>
                      <w:szCs w:val="18"/>
                      <w:lang w:val="zh-CN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完成对药物的原料药或制剂的相关检验，准确记录实验数据，书写实验报告，并对实验过程中的实验注意实现进行归纳总结。（书面提交报告）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POC4.1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013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2631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355" w:type="pct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</w:tr>
          </w:tbl>
          <w:p>
            <w:pPr>
              <w:pStyle w:val="7"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相应知识、技能、素养的要点描述：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（1）能够根据质量标准，正确检验氯化钠的杂质；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</w:t>
            </w:r>
            <w:r>
              <w:rPr>
                <w:sz w:val="18"/>
                <w:szCs w:val="18"/>
              </w:rPr>
              <w:t>能根据质量标准，正确进行样品的前处理操作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</w:t>
            </w:r>
            <w:r>
              <w:rPr>
                <w:sz w:val="18"/>
                <w:szCs w:val="18"/>
              </w:rPr>
              <w:t>能够运用公式正确计算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杂质限量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（4）</w:t>
            </w:r>
            <w:r>
              <w:rPr>
                <w:sz w:val="18"/>
                <w:szCs w:val="18"/>
              </w:rPr>
              <w:t>能规范书写实验报告和检验报告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。</w:t>
            </w:r>
          </w:p>
          <w:p>
            <w:pPr>
              <w:pStyle w:val="7"/>
              <w:spacing w:line="276" w:lineRule="auto"/>
              <w:ind w:left="0" w:leftChars="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模块）融入思政元素要点描述。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（1）能够规范的按标准检验药品，规范书写实验报告和检验报告，真实及时的记录和处理实验数据，得出正确的结论；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（2）专注听课，独立完成测试，以严谨、认真的态度对待学习；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（3）具备“知标准、懂标准”依法检验的基本素养；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认真完成课后作业，达到温故而知新的学习目的。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重点难点问题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与解决措施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能够独立按照标准检验氯化钠的杂质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难点：</w:t>
            </w:r>
          </w:p>
          <w:p>
            <w:pPr>
              <w:spacing w:line="276" w:lineRule="auto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利用公式计算氯化钠的限量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解决方案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通过实例分析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讲解分析，在教学过程中以雨课堂学习平台随堂练习，让学生边学边练，在课后在得实学习平台发布练习题让学生巩固学习加深理解。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教学情境与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条件要求</w:t>
            </w:r>
          </w:p>
        </w:tc>
        <w:tc>
          <w:tcPr>
            <w:tcW w:w="4216" w:type="pct"/>
            <w:gridSpan w:val="8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线下</w:t>
            </w:r>
            <w:r>
              <w:rPr>
                <w:rFonts w:hint="eastAsia" w:ascii="宋体" w:cs="宋体"/>
                <w:sz w:val="18"/>
                <w:szCs w:val="18"/>
                <w:lang w:val="zh-CN"/>
              </w:rPr>
              <w:t>多媒体教学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课件；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辅以线上腾讯会议直播；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雨课堂、课堂派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得实学习平台课后练习和测试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参考资料与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数字化资源</w:t>
            </w:r>
          </w:p>
        </w:tc>
        <w:tc>
          <w:tcPr>
            <w:tcW w:w="4216" w:type="pct"/>
            <w:gridSpan w:val="8"/>
          </w:tcPr>
          <w:p>
            <w:pPr>
              <w:widowControl/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1.精品课程配套教学《药物检验技术》，李荣主编，上海浦江教育出版社</w:t>
            </w:r>
          </w:p>
          <w:p>
            <w:pPr>
              <w:widowControl/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zh-CN"/>
              </w:rPr>
              <w:t>《中华人民共和国药典》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国家药典委员会主编，20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0年，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中国医药科技出版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社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国家食品药品监督管理局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"http://www.sfda.gov.cn/WS01/CL0001/"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http://www.sfda.gov.cn/WS01/CL0001/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4.中国大学MOOC(慕课)_国家精品课程在线学习平台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氯化钠的杂质检查学习情境（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设计活页 （不够可以增加页）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20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页</w:t>
      </w:r>
    </w:p>
    <w:tbl>
      <w:tblPr>
        <w:tblStyle w:val="4"/>
        <w:tblW w:w="5143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630"/>
        <w:gridCol w:w="1044"/>
        <w:gridCol w:w="692"/>
        <w:gridCol w:w="910"/>
        <w:gridCol w:w="640"/>
        <w:gridCol w:w="1602"/>
        <w:gridCol w:w="1181"/>
        <w:gridCol w:w="30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zh-CN"/>
              </w:rPr>
              <w:t>步骤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zh-CN"/>
              </w:rPr>
              <w:t>教学内容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融入的思政元素</w:t>
            </w:r>
          </w:p>
        </w:tc>
        <w:tc>
          <w:tcPr>
            <w:tcW w:w="838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zh-CN"/>
              </w:rPr>
              <w:t>方法手段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zh-CN"/>
              </w:rPr>
              <w:t>学生活动</w:t>
            </w:r>
          </w:p>
        </w:tc>
        <w:tc>
          <w:tcPr>
            <w:tcW w:w="733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组织学生完成雨课堂签到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课堂引入：氯化钠的杂质检查在哪里查找？课前请查找其质量标准。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培养学生“懂标准、知标准”的，规范按照标准检验的意识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做好质量的把关人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课堂提问，组织学生查找氯化钠的质量标准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回答问题，用手机“蒲公英”查找标准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讲述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对照法、灵敏度法、比较法测定氯化钠的杂质的原理，片剂前处理的目的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讲述本实验的实验步骤和注意事项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1" w:type="pct"/>
            <w:gridSpan w:val="2"/>
          </w:tcPr>
          <w:p>
            <w:pPr>
              <w:pStyle w:val="2"/>
              <w:spacing w:line="240" w:lineRule="auto"/>
              <w:rPr>
                <w:rFonts w:hint="default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氯化钠在药物中多用于注射用或制成生理盐水，常接触伤口或静脉滴注等，一定要控制氯化钠原料中的杂质，避免出现严重的质量问题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讲解、图片，板书、按药典标准讲解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听讲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学生根据步骤写下所需要的仪器，并准备仪器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实验前的准备工作是实验的的关键步骤仪器，学生应选择正确的分析仪器才能提高检验检验结果的正确性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布置任务，引导学生选用正确仪器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学生准备器材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教师演示操作</w:t>
            </w:r>
          </w:p>
          <w:p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演示比色管操作</w:t>
            </w:r>
          </w:p>
          <w:p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hint="default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演示紫外-可见分光光度计的操作</w:t>
            </w:r>
          </w:p>
          <w:p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hint="default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演示天平操作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规范的操作仪器，减小实验过程中的误差，引导学生应精益求精的，专注检验的实验态度，培养学生的工匠精神。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教师结合视频示范操作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学生同步演练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rPr>
                <w:rFonts w:hint="default" w:ascii="黑体" w:hAnsi="黑体" w:eastAsia="黑体" w:cs="黑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学生按照实验步骤完成实验，</w:t>
            </w:r>
            <w:r>
              <w:rPr>
                <w:rFonts w:hint="eastAsia" w:ascii="黑体" w:hAnsi="黑体" w:eastAsia="黑体" w:cs="黑体"/>
                <w:bCs/>
                <w:sz w:val="21"/>
                <w:szCs w:val="21"/>
                <w:lang w:val="en-US" w:eastAsia="zh-CN"/>
              </w:rPr>
              <w:t>及时、真实、完整的记录数据实验数据，用后仪器后做好登记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1.培养学生严谨认真的工作态度，检验过程中不能有任何弄虚作假的行为。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2.理解杂质检查的意义，保证药品的安全、有效。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3.实验过程中注意秩序、小组成员应做好任务分配、要有团队意识，用后仪器应正确清洗并妥善保存，避免打碎仪器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讲解、图片，板书、按药典标准讲解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规范检验，及时记录数据，用后仪器及时登记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讲解计算公式，实验报告和检验报告的区别，如何规范书写。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数据实事求是，不弄虚作假，规范书写检验报告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讲解公式，标准规定含量限度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处理检验数据，根据结论得出正确的结果，书写实验报告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1"/>
                <w:szCs w:val="21"/>
              </w:rPr>
              <w:t>学生完成清洁工作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宋体" w:cs="黑体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课程融入劳动教育，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树立正确的劳动价值观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培养学生有责任心</w:t>
            </w:r>
            <w:bookmarkEnd w:id="0"/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分配清洁任务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学生打扫卫生，并做好登记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课后书写实验报告，布置下次实验内容，让学生预习。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学生独立完成，达到温故而知新的学习目的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课堂派平台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完成作业，讲实验报告和检验报告上传至课堂派查缺补漏知识点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29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教与学诊断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与改进措施</w:t>
            </w:r>
          </w:p>
        </w:tc>
        <w:tc>
          <w:tcPr>
            <w:tcW w:w="4070" w:type="pct"/>
            <w:gridSpan w:val="8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1.学生预期学习成果（SOC）的达成评价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学生应“知标准、懂标准”，严格执行标准，客观检验，无误检验，具备工匠精神检验药品。</w:t>
            </w:r>
          </w:p>
          <w:p>
            <w:pPr>
              <w:spacing w:line="276" w:lineRule="auto"/>
              <w:ind w:firstLine="361"/>
              <w:jc w:val="left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2.教与学的效果的评价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课堂测试应达到60%以上的正确率。</w:t>
            </w:r>
          </w:p>
          <w:p>
            <w:pPr>
              <w:spacing w:line="276" w:lineRule="auto"/>
              <w:ind w:firstLine="422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CN" w:eastAsia="zh-CN"/>
              </w:rPr>
              <w:t>3.改进措施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zh-CN" w:eastAsia="zh-CN"/>
              </w:rPr>
              <w:t>通过学生在平台上的表现，对学生易错的知识点进行更详细的解说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>学生之间知识基础具有差距，对于化学基础特别差的学生给予帮助，给予关心和指导。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9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署名/日期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教师签名及日期</w:t>
            </w:r>
          </w:p>
        </w:tc>
        <w:tc>
          <w:tcPr>
            <w:tcW w:w="838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577215" cy="428625"/>
                  <wp:effectExtent l="0" t="0" r="6985" b="3175"/>
                  <wp:docPr id="1" name="图片 1" descr="微信截图_20211101084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1101084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2022年3月15</w:t>
            </w:r>
          </w:p>
        </w:tc>
        <w:tc>
          <w:tcPr>
            <w:tcW w:w="1173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检查者签名及日期</w:t>
            </w:r>
          </w:p>
        </w:tc>
        <w:tc>
          <w:tcPr>
            <w:tcW w:w="894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09600" cy="287655"/>
                  <wp:effectExtent l="0" t="0" r="0" b="4445"/>
                  <wp:docPr id="4" name="图片 4" descr="58b1cea280166bb4655be0708b500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8b1cea280166bb4655be0708b500a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2022年2月28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92C06"/>
    <w:multiLevelType w:val="singleLevel"/>
    <w:tmpl w:val="84E92C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ACE4BD6"/>
    <w:multiLevelType w:val="singleLevel"/>
    <w:tmpl w:val="9ACE4B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B27FB6D"/>
    <w:multiLevelType w:val="singleLevel"/>
    <w:tmpl w:val="1B27FB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6BA1859"/>
    <w:multiLevelType w:val="singleLevel"/>
    <w:tmpl w:val="66BA18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45DA"/>
    <w:rsid w:val="02C60B62"/>
    <w:rsid w:val="04090755"/>
    <w:rsid w:val="04427B2A"/>
    <w:rsid w:val="063A2371"/>
    <w:rsid w:val="067D6617"/>
    <w:rsid w:val="084F7150"/>
    <w:rsid w:val="0884097C"/>
    <w:rsid w:val="0A1230F4"/>
    <w:rsid w:val="0A4F6BFD"/>
    <w:rsid w:val="0AA562C3"/>
    <w:rsid w:val="0BAE7302"/>
    <w:rsid w:val="0E6204A3"/>
    <w:rsid w:val="0ED1421A"/>
    <w:rsid w:val="10E52972"/>
    <w:rsid w:val="12071EC1"/>
    <w:rsid w:val="134858DC"/>
    <w:rsid w:val="141753DB"/>
    <w:rsid w:val="144E252C"/>
    <w:rsid w:val="145B2F29"/>
    <w:rsid w:val="15DF4B10"/>
    <w:rsid w:val="161E3F4E"/>
    <w:rsid w:val="18F546A5"/>
    <w:rsid w:val="18F759EC"/>
    <w:rsid w:val="198E125F"/>
    <w:rsid w:val="1A482675"/>
    <w:rsid w:val="1ACB533E"/>
    <w:rsid w:val="1ADE37BF"/>
    <w:rsid w:val="1B5909B0"/>
    <w:rsid w:val="1BEB45DA"/>
    <w:rsid w:val="1CC11523"/>
    <w:rsid w:val="1E6B06F3"/>
    <w:rsid w:val="1EC93137"/>
    <w:rsid w:val="1EEA05F6"/>
    <w:rsid w:val="201E5738"/>
    <w:rsid w:val="21672D34"/>
    <w:rsid w:val="21BE039C"/>
    <w:rsid w:val="23016A45"/>
    <w:rsid w:val="25034563"/>
    <w:rsid w:val="255C5AB5"/>
    <w:rsid w:val="260070FB"/>
    <w:rsid w:val="26043A60"/>
    <w:rsid w:val="2DC1030D"/>
    <w:rsid w:val="2DEE172B"/>
    <w:rsid w:val="318E54E0"/>
    <w:rsid w:val="31ED4FFF"/>
    <w:rsid w:val="320D283B"/>
    <w:rsid w:val="347F13BA"/>
    <w:rsid w:val="34E935C7"/>
    <w:rsid w:val="34F43C01"/>
    <w:rsid w:val="35546DAA"/>
    <w:rsid w:val="36B96138"/>
    <w:rsid w:val="372367CC"/>
    <w:rsid w:val="37A24BEB"/>
    <w:rsid w:val="37F609DF"/>
    <w:rsid w:val="399E54C4"/>
    <w:rsid w:val="3A834ED0"/>
    <w:rsid w:val="3B3D6B6B"/>
    <w:rsid w:val="3D6E7323"/>
    <w:rsid w:val="40DD01E4"/>
    <w:rsid w:val="41393CF5"/>
    <w:rsid w:val="42966ED5"/>
    <w:rsid w:val="4345160B"/>
    <w:rsid w:val="44597CEF"/>
    <w:rsid w:val="46A208D4"/>
    <w:rsid w:val="48AA1734"/>
    <w:rsid w:val="490C52B2"/>
    <w:rsid w:val="490E79BE"/>
    <w:rsid w:val="491D2A24"/>
    <w:rsid w:val="49E22CFC"/>
    <w:rsid w:val="49E27621"/>
    <w:rsid w:val="4E5F016D"/>
    <w:rsid w:val="4EF675E5"/>
    <w:rsid w:val="4F5A394D"/>
    <w:rsid w:val="502A5585"/>
    <w:rsid w:val="508C5832"/>
    <w:rsid w:val="50C302C8"/>
    <w:rsid w:val="511E2BB4"/>
    <w:rsid w:val="520B7555"/>
    <w:rsid w:val="52C83E47"/>
    <w:rsid w:val="53A42F0B"/>
    <w:rsid w:val="541F3D49"/>
    <w:rsid w:val="54222FA9"/>
    <w:rsid w:val="55874A03"/>
    <w:rsid w:val="558B3491"/>
    <w:rsid w:val="55E12602"/>
    <w:rsid w:val="56745CBA"/>
    <w:rsid w:val="58062373"/>
    <w:rsid w:val="590642B8"/>
    <w:rsid w:val="598D3261"/>
    <w:rsid w:val="5ACA0191"/>
    <w:rsid w:val="5B9E120E"/>
    <w:rsid w:val="5C8E173E"/>
    <w:rsid w:val="5F7F61E5"/>
    <w:rsid w:val="60055666"/>
    <w:rsid w:val="608E59B3"/>
    <w:rsid w:val="63793326"/>
    <w:rsid w:val="64826E04"/>
    <w:rsid w:val="64B5453C"/>
    <w:rsid w:val="68C71B9B"/>
    <w:rsid w:val="69016300"/>
    <w:rsid w:val="6AC169D0"/>
    <w:rsid w:val="6BAE0630"/>
    <w:rsid w:val="6C0226CB"/>
    <w:rsid w:val="701B7179"/>
    <w:rsid w:val="70820A86"/>
    <w:rsid w:val="73335FBC"/>
    <w:rsid w:val="73CC61C7"/>
    <w:rsid w:val="740F738B"/>
    <w:rsid w:val="746E2CDF"/>
    <w:rsid w:val="76C40CDD"/>
    <w:rsid w:val="770A6DF7"/>
    <w:rsid w:val="78004AFA"/>
    <w:rsid w:val="795C6978"/>
    <w:rsid w:val="7AD22601"/>
    <w:rsid w:val="7B292A78"/>
    <w:rsid w:val="7B415892"/>
    <w:rsid w:val="7BC77FD7"/>
    <w:rsid w:val="7CB3396C"/>
    <w:rsid w:val="7CC902D7"/>
    <w:rsid w:val="7D355905"/>
    <w:rsid w:val="7D67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Microsoft JhengHei" w:hAnsi="Microsoft JhengHei" w:eastAsia="Microsoft JhengHei" w:cs="Microsoft JhengHei"/>
      <w:kern w:val="0"/>
      <w:sz w:val="20"/>
      <w:szCs w:val="20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7AB7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透明的鱼</dc:creator>
  <cp:lastModifiedBy>李荣</cp:lastModifiedBy>
  <dcterms:modified xsi:type="dcterms:W3CDTF">2022-03-21T14:06:28Z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A9A1C20597C144129CC18FA703CD1220</vt:lpwstr>
  </property>
</Properties>
</file>